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32DA7" w14:paraId="276CD28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E0AEED" w14:textId="77777777" w:rsidR="00532DA7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7CA37FDA" w14:textId="77777777" w:rsidR="00532DA7" w:rsidRDefault="00000000">
            <w:pPr>
              <w:spacing w:after="0" w:line="240" w:lineRule="auto"/>
            </w:pPr>
            <w:r>
              <w:t>32002</w:t>
            </w:r>
          </w:p>
        </w:tc>
      </w:tr>
      <w:tr w:rsidR="00532DA7" w14:paraId="1491028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D509C4" w14:textId="77777777" w:rsidR="00532DA7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4BE468B0" w14:textId="77777777" w:rsidR="00532DA7" w:rsidRDefault="00000000">
            <w:pPr>
              <w:spacing w:after="0" w:line="240" w:lineRule="auto"/>
            </w:pPr>
            <w:r>
              <w:t>OPĆINA LUMBARDA</w:t>
            </w:r>
          </w:p>
        </w:tc>
      </w:tr>
      <w:tr w:rsidR="00532DA7" w14:paraId="7265DE8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A1ABFAD" w14:textId="77777777" w:rsidR="00532DA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F380008" w14:textId="77777777" w:rsidR="00532DA7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49163CDA" w14:textId="77777777" w:rsidR="00532DA7" w:rsidRDefault="00000000">
      <w:r>
        <w:br/>
      </w:r>
    </w:p>
    <w:p w14:paraId="75295B5F" w14:textId="77777777" w:rsidR="00532DA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EA34618" w14:textId="77777777" w:rsidR="00532DA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8C4E6D9" w14:textId="77777777" w:rsidR="00532DA7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4D914C1" w14:textId="77777777" w:rsidR="00532DA7" w:rsidRDefault="00532DA7"/>
    <w:p w14:paraId="76FE2EF7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105CA76E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2DA7" w14:paraId="214C6E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FD770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8D189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B332F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777AE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70D60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8FA6F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32DA7" w14:paraId="0D57A1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51BF8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AEB963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AB898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5890CF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1.247.518,89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B83D20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1.305.400,76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DCBFE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  <w:tr w:rsidR="00532DA7" w14:paraId="0183F0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EDCEA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FDE53C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FFBBF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79BD21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1.125.057,32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5986CF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1.217.255,84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59BBA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  <w:tr w:rsidR="00532DA7" w14:paraId="6DD94F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FBE4C" w14:textId="77777777" w:rsidR="00532DA7" w:rsidRDefault="00532D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F43489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069A6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31E522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122.461,57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055C4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88.144,92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72954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72,0</w:t>
            </w:r>
          </w:p>
        </w:tc>
      </w:tr>
      <w:tr w:rsidR="00532DA7" w14:paraId="4A81BE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66014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60A939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8ADE5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42140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10.950,50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BC8624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18.461,50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2F083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168,6</w:t>
            </w:r>
          </w:p>
        </w:tc>
      </w:tr>
      <w:tr w:rsidR="00532DA7" w14:paraId="43C151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2EB49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893DAA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F7D32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42CA38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74.336,83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54A521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151.329,35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FB436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203,6</w:t>
            </w:r>
          </w:p>
        </w:tc>
      </w:tr>
      <w:tr w:rsidR="00532DA7" w14:paraId="38C294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2C1E6" w14:textId="77777777" w:rsidR="00532DA7" w:rsidRDefault="00532D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B5846C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60457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16708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63.386,33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DA6743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132.867,85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84884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209,6</w:t>
            </w:r>
          </w:p>
        </w:tc>
      </w:tr>
      <w:tr w:rsidR="00532DA7" w14:paraId="4A9379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D6DDBA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04E0EB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561A0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F1131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734503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B777B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32DA7" w14:paraId="185435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70F76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38D664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5A0D4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7D171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A893C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F8A95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532DA7" w14:paraId="5CF0C0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76C5A" w14:textId="77777777" w:rsidR="00532DA7" w:rsidRDefault="00532D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24A022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01C14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22268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E9C11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5F911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532DA7" w14:paraId="7B5C8E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9E86D" w14:textId="77777777" w:rsidR="00532DA7" w:rsidRDefault="00532D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266228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07A16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88ADC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140.924,76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E41733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44.722,93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AF457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31,7</w:t>
            </w:r>
          </w:p>
        </w:tc>
      </w:tr>
    </w:tbl>
    <w:p w14:paraId="28CD6631" w14:textId="77777777" w:rsidR="00532DA7" w:rsidRDefault="00532DA7">
      <w:pPr>
        <w:spacing w:after="0"/>
      </w:pPr>
    </w:p>
    <w:p w14:paraId="6AD61D78" w14:textId="77777777" w:rsidR="00532DA7" w:rsidRDefault="00000000">
      <w:r>
        <w:t xml:space="preserve">U </w:t>
      </w:r>
      <w:proofErr w:type="spellStart"/>
      <w:r>
        <w:t>razdoblju</w:t>
      </w:r>
      <w:proofErr w:type="spellEnd"/>
      <w:r>
        <w:t xml:space="preserve"> od 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1.305.400,76 EUR.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je od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od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lastRenderedPageBreak/>
        <w:t>od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EU </w:t>
      </w:r>
      <w:proofErr w:type="spellStart"/>
      <w:r>
        <w:t>te</w:t>
      </w:r>
      <w:proofErr w:type="spellEnd"/>
      <w:r>
        <w:t xml:space="preserve"> od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prihodima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kupoprodajnih</w:t>
      </w:r>
      <w:proofErr w:type="spellEnd"/>
      <w:r>
        <w:t xml:space="preserve"> </w:t>
      </w:r>
      <w:proofErr w:type="spellStart"/>
      <w:r>
        <w:t>transakcija</w:t>
      </w:r>
      <w:proofErr w:type="spellEnd"/>
      <w:r>
        <w:t xml:space="preserve">, a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Lumbarda.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razdoblju</w:t>
      </w:r>
      <w:proofErr w:type="spellEnd"/>
      <w:r>
        <w:t xml:space="preserve"> od 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1.217.255,84 EUR.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 u </w:t>
      </w:r>
      <w:proofErr w:type="spellStart"/>
      <w:r>
        <w:t>novcu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izdvajanja</w:t>
      </w:r>
      <w:proofErr w:type="spellEnd"/>
      <w:r>
        <w:t xml:space="preserve"> za </w:t>
      </w:r>
      <w:proofErr w:type="spellStart"/>
      <w:r>
        <w:t>udruge</w:t>
      </w:r>
      <w:proofErr w:type="spellEnd"/>
      <w:r>
        <w:t xml:space="preserve"> </w:t>
      </w:r>
      <w:proofErr w:type="spellStart"/>
      <w:r>
        <w:t>civilnog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za </w:t>
      </w:r>
      <w:proofErr w:type="spellStart"/>
      <w:r>
        <w:t>trošak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investicijskog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dijelova</w:t>
      </w:r>
      <w:proofErr w:type="spellEnd"/>
      <w:r>
        <w:t xml:space="preserve"> za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smanjenih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asvaltiranja</w:t>
      </w:r>
      <w:proofErr w:type="spellEnd"/>
      <w:r>
        <w:t xml:space="preserve"> </w:t>
      </w:r>
      <w:proofErr w:type="spellStart"/>
      <w:r>
        <w:t>nerazvrstanih</w:t>
      </w:r>
      <w:proofErr w:type="spellEnd"/>
      <w:r>
        <w:t xml:space="preserve"> cesta.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18.461,50 EUR </w:t>
      </w:r>
      <w:proofErr w:type="spellStart"/>
      <w:r>
        <w:t>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prodaju</w:t>
      </w:r>
      <w:proofErr w:type="spellEnd"/>
      <w:r>
        <w:t xml:space="preserve">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čestice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151.329,35 EUR.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glazbenu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, a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opremanja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igrališta</w:t>
      </w:r>
      <w:proofErr w:type="spellEnd"/>
      <w:r>
        <w:t xml:space="preserve"> u </w:t>
      </w:r>
      <w:proofErr w:type="spellStart"/>
      <w:r>
        <w:t>centru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.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 od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 xml:space="preserve">. U </w:t>
      </w:r>
      <w:proofErr w:type="spellStart"/>
      <w:r>
        <w:t>razdoblju</w:t>
      </w:r>
      <w:proofErr w:type="spellEnd"/>
      <w:r>
        <w:t xml:space="preserve"> od 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je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88.144,92 EUR,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132.867,85 EUR, </w:t>
      </w:r>
      <w:proofErr w:type="spellStart"/>
      <w:r>
        <w:t>slijedom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44.722,93 EUR.</w:t>
      </w:r>
    </w:p>
    <w:p w14:paraId="33358339" w14:textId="77777777" w:rsidR="00532DA7" w:rsidRDefault="00000000">
      <w:r>
        <w:br/>
      </w:r>
    </w:p>
    <w:p w14:paraId="26F7FAA6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2DA7" w14:paraId="402BE8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77D16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6731C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AC2E8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3E791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782BD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F5710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32DA7" w14:paraId="3056FF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F51E5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45B254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poreza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72F55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3FC285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685.992,96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63EB5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607.178,40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09027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88,5</w:t>
            </w:r>
          </w:p>
        </w:tc>
      </w:tr>
    </w:tbl>
    <w:p w14:paraId="148D5D0F" w14:textId="77777777" w:rsidR="00532DA7" w:rsidRDefault="00532DA7">
      <w:pPr>
        <w:spacing w:after="0"/>
      </w:pPr>
    </w:p>
    <w:p w14:paraId="0E37B662" w14:textId="77777777" w:rsidR="00532DA7" w:rsidRPr="00806BF7" w:rsidRDefault="00000000">
      <w:pPr>
        <w:rPr>
          <w:lang w:val="fr-FR"/>
        </w:rPr>
      </w:pPr>
      <w:r w:rsidRPr="00806BF7">
        <w:rPr>
          <w:lang w:val="fr-FR"/>
        </w:rPr>
        <w:t>Smanjeni su za 11,5 % u odnosu na prethodnu godinu. Na smanjenje navedene vrste prihoda najveći utjecaj imalo je smanjenje prihoda od poreza na promet nekretnina za 53,1%  ili za iznos od 97.136,52 EUR. Razloga smanjenja navedene vrste prihoda je smanjenje obujma transakcija prilikom kupoprodaje nekretnina na području Općine Lumbarda zbog povećanih cijena nekretnina i smanjene kupovne moći kupaca uslijed povećanja troškova života. Također su smanjeni i prihodi od stalnih poreza na nepokretnu imovinu za 31,5% iz razloga što je Ministarstvo finacija - Porezna uprava poslala rješenja o plaćanju porez na nekretnine tek krajem 2025. godine.</w:t>
      </w:r>
    </w:p>
    <w:p w14:paraId="0A5C8E58" w14:textId="77777777" w:rsidR="00532DA7" w:rsidRPr="00806BF7" w:rsidRDefault="00532DA7">
      <w:pPr>
        <w:rPr>
          <w:lang w:val="fr-FR"/>
        </w:rPr>
      </w:pPr>
    </w:p>
    <w:p w14:paraId="1BCD770D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2DA7" w14:paraId="11961E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CE03A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2D4E1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DA456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666F6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8BE9C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55F4E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32DA7" w14:paraId="3EC627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3AB88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A86D47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inozemstva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subjekata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unutar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513B6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1FB91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210.594,02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CCA56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298.227,53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B04DC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141,6</w:t>
            </w:r>
          </w:p>
        </w:tc>
      </w:tr>
    </w:tbl>
    <w:p w14:paraId="52E8AFA1" w14:textId="77777777" w:rsidR="00532DA7" w:rsidRDefault="00532DA7">
      <w:pPr>
        <w:spacing w:after="0"/>
      </w:pPr>
    </w:p>
    <w:p w14:paraId="43A6980B" w14:textId="77777777" w:rsidR="00532DA7" w:rsidRDefault="00000000">
      <w:proofErr w:type="spellStart"/>
      <w:r>
        <w:t>Povećane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period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za 41,6 % </w:t>
      </w:r>
      <w:proofErr w:type="spellStart"/>
      <w:r>
        <w:t>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potpore</w:t>
      </w:r>
      <w:proofErr w:type="spellEnd"/>
      <w:r>
        <w:t xml:space="preserve"> od MRRFEU za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igrališta</w:t>
      </w:r>
      <w:proofErr w:type="spellEnd"/>
      <w:r>
        <w:t xml:space="preserve">, od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za 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ravnog</w:t>
      </w:r>
      <w:proofErr w:type="spellEnd"/>
      <w:r>
        <w:t xml:space="preserve"> </w:t>
      </w:r>
      <w:proofErr w:type="spellStart"/>
      <w:r>
        <w:t>krova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Doma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od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graditeljstva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kamiona</w:t>
      </w:r>
      <w:proofErr w:type="spellEnd"/>
      <w:r>
        <w:t xml:space="preserve"> za </w:t>
      </w:r>
      <w:proofErr w:type="spellStart"/>
      <w:r>
        <w:t>skupljanje</w:t>
      </w:r>
      <w:proofErr w:type="spellEnd"/>
      <w:r>
        <w:t xml:space="preserve"> </w:t>
      </w:r>
      <w:proofErr w:type="spellStart"/>
      <w:r>
        <w:t>otpada</w:t>
      </w:r>
      <w:proofErr w:type="spellEnd"/>
      <w:r>
        <w:t xml:space="preserve">.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potpora</w:t>
      </w:r>
      <w:proofErr w:type="spellEnd"/>
      <w:r>
        <w:t xml:space="preserve"> u </w:t>
      </w:r>
      <w:proofErr w:type="spellStart"/>
      <w:r>
        <w:t>tekućoj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je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dobivanja</w:t>
      </w:r>
      <w:proofErr w:type="spellEnd"/>
      <w:r>
        <w:t xml:space="preserve"> </w:t>
      </w:r>
      <w:proofErr w:type="spellStart"/>
      <w:r>
        <w:t>potpore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Europskog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za </w:t>
      </w:r>
      <w:proofErr w:type="spellStart"/>
      <w:r>
        <w:t>istraživanje</w:t>
      </w:r>
      <w:proofErr w:type="spellEnd"/>
      <w:r>
        <w:t xml:space="preserve"> </w:t>
      </w:r>
      <w:proofErr w:type="spellStart"/>
      <w:r>
        <w:t>bioraznolikosti</w:t>
      </w:r>
      <w:proofErr w:type="spellEnd"/>
      <w:r>
        <w:t xml:space="preserve"> mora u </w:t>
      </w:r>
      <w:proofErr w:type="spellStart"/>
      <w:r>
        <w:t>iznosu</w:t>
      </w:r>
      <w:proofErr w:type="spellEnd"/>
      <w:r>
        <w:t xml:space="preserve"> od 60.000,00 EUR. </w:t>
      </w:r>
    </w:p>
    <w:p w14:paraId="6923AEB1" w14:textId="77777777" w:rsidR="00532DA7" w:rsidRDefault="00532DA7"/>
    <w:p w14:paraId="18F1AE32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2DA7" w14:paraId="67BE6E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46B3D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2CA0B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DDB65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66B89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8494D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0E357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32DA7" w14:paraId="3B13E8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8B63F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6448BB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upravnih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administrativnih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posebnim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71076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4F799A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188.255,47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8D0A8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228.517,76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969FD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14:paraId="05BDEBED" w14:textId="77777777" w:rsidR="00532DA7" w:rsidRDefault="00532DA7">
      <w:pPr>
        <w:spacing w:after="0"/>
      </w:pPr>
    </w:p>
    <w:p w14:paraId="621088B6" w14:textId="77777777" w:rsidR="00532DA7" w:rsidRDefault="00000000"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21,4 %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period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za </w:t>
      </w:r>
      <w:proofErr w:type="spellStart"/>
      <w:r>
        <w:t>iznos</w:t>
      </w:r>
      <w:proofErr w:type="spellEnd"/>
      <w:r>
        <w:t xml:space="preserve"> od 40.262,29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ponajviše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u </w:t>
      </w:r>
      <w:proofErr w:type="spellStart"/>
      <w:r>
        <w:t>tekućoj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. </w:t>
      </w:r>
      <w:proofErr w:type="spellStart"/>
      <w:r>
        <w:t>Navedeno</w:t>
      </w:r>
      <w:proofErr w:type="spellEnd"/>
      <w:r>
        <w:t xml:space="preserve"> je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izdanih</w:t>
      </w:r>
      <w:proofErr w:type="spellEnd"/>
      <w:r>
        <w:t xml:space="preserve"> </w:t>
      </w:r>
      <w:proofErr w:type="spellStart"/>
      <w:r>
        <w:t>građevinskih</w:t>
      </w:r>
      <w:proofErr w:type="spellEnd"/>
      <w:r>
        <w:t xml:space="preserve"> </w:t>
      </w:r>
      <w:proofErr w:type="spellStart"/>
      <w:r>
        <w:t>dozvola</w:t>
      </w:r>
      <w:proofErr w:type="spellEnd"/>
      <w:r>
        <w:t xml:space="preserve"> za </w:t>
      </w:r>
      <w:proofErr w:type="spellStart"/>
      <w:r>
        <w:t>građenje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u </w:t>
      </w:r>
      <w:proofErr w:type="spellStart"/>
      <w:r>
        <w:t>tekućoj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veća</w:t>
      </w:r>
      <w:proofErr w:type="spellEnd"/>
      <w:r>
        <w:t xml:space="preserve"> </w:t>
      </w:r>
      <w:proofErr w:type="spellStart"/>
      <w:r>
        <w:t>naplata</w:t>
      </w:r>
      <w:proofErr w:type="spellEnd"/>
      <w:r>
        <w:t xml:space="preserve"> po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uplata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legalizacije</w:t>
      </w:r>
      <w:proofErr w:type="spellEnd"/>
      <w:r>
        <w:t xml:space="preserve"> </w:t>
      </w:r>
      <w:proofErr w:type="spellStart"/>
      <w:r>
        <w:t>nelegalno</w:t>
      </w:r>
      <w:proofErr w:type="spellEnd"/>
      <w:r>
        <w:t xml:space="preserve"> </w:t>
      </w:r>
      <w:proofErr w:type="spellStart"/>
      <w:r>
        <w:t>sagrađenih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u </w:t>
      </w:r>
      <w:proofErr w:type="spellStart"/>
      <w:r>
        <w:t>prostoru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naplata</w:t>
      </w:r>
      <w:proofErr w:type="spellEnd"/>
      <w:r>
        <w:t xml:space="preserve"> </w:t>
      </w:r>
      <w:proofErr w:type="spellStart"/>
      <w:r>
        <w:t>starih</w:t>
      </w:r>
      <w:proofErr w:type="spellEnd"/>
      <w:r>
        <w:t xml:space="preserve"> </w:t>
      </w:r>
      <w:proofErr w:type="spellStart"/>
      <w:r>
        <w:t>dugovanja</w:t>
      </w:r>
      <w:proofErr w:type="spellEnd"/>
      <w:r>
        <w:t xml:space="preserve"> za </w:t>
      </w:r>
      <w:proofErr w:type="spellStart"/>
      <w:r>
        <w:t>komunalnu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>. </w:t>
      </w:r>
    </w:p>
    <w:p w14:paraId="2F598F00" w14:textId="77777777" w:rsidR="00532DA7" w:rsidRDefault="00532DA7"/>
    <w:p w14:paraId="19CFC786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2DA7" w14:paraId="24A5AE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60EF5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8BE71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EF568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9501A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2CD90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4D82B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32DA7" w14:paraId="6068B2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C1B5E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228ECF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zaposlene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D74BE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0469D3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128.361,29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5CA477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165.326,17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1E106C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128,8</w:t>
            </w:r>
          </w:p>
        </w:tc>
      </w:tr>
    </w:tbl>
    <w:p w14:paraId="2B99E1EC" w14:textId="77777777" w:rsidR="00532DA7" w:rsidRDefault="00532DA7">
      <w:pPr>
        <w:spacing w:after="0"/>
      </w:pPr>
    </w:p>
    <w:p w14:paraId="497CD1E2" w14:textId="77777777" w:rsidR="00532DA7" w:rsidRDefault="00000000"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28,8 %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za </w:t>
      </w:r>
      <w:proofErr w:type="spellStart"/>
      <w:r>
        <w:t>iznos</w:t>
      </w:r>
      <w:proofErr w:type="spellEnd"/>
      <w:r>
        <w:t xml:space="preserve"> od 36.964,88 </w:t>
      </w:r>
      <w:proofErr w:type="spellStart"/>
      <w:r>
        <w:t>eura</w:t>
      </w:r>
      <w:proofErr w:type="spellEnd"/>
      <w:r>
        <w:t xml:space="preserve">.  Na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utjecalo</w:t>
      </w:r>
      <w:proofErr w:type="spellEnd"/>
      <w:r>
        <w:t xml:space="preserve"> je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koeficijenata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u </w:t>
      </w:r>
      <w:proofErr w:type="spellStart"/>
      <w:r>
        <w:t>Jedinstvenom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Lumbarda za </w:t>
      </w:r>
      <w:proofErr w:type="spellStart"/>
      <w:r>
        <w:t>prosječno</w:t>
      </w:r>
      <w:proofErr w:type="spellEnd"/>
      <w:r>
        <w:t xml:space="preserve"> 12%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.  Osim toga </w:t>
      </w:r>
      <w:proofErr w:type="spellStart"/>
      <w:r>
        <w:t>povećana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osnovica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namještenika</w:t>
      </w:r>
      <w:proofErr w:type="spellEnd"/>
      <w:r>
        <w:t xml:space="preserve">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službama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, a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lastRenderedPageBreak/>
        <w:t>automatski</w:t>
      </w:r>
      <w:proofErr w:type="spellEnd"/>
      <w:r>
        <w:t xml:space="preserve"> </w:t>
      </w:r>
      <w:proofErr w:type="spellStart"/>
      <w:r>
        <w:t>primjenjuje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osnovica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Lumbarda.  Također  je za </w:t>
      </w:r>
      <w:proofErr w:type="spellStart"/>
      <w:r>
        <w:t>prva</w:t>
      </w:r>
      <w:proofErr w:type="spellEnd"/>
      <w:r>
        <w:t xml:space="preserve"> tri </w:t>
      </w:r>
      <w:proofErr w:type="spellStart"/>
      <w:r>
        <w:t>mjeseca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rađen</w:t>
      </w:r>
      <w:proofErr w:type="spellEnd"/>
      <w:r>
        <w:t xml:space="preserve"> </w:t>
      </w:r>
      <w:proofErr w:type="spellStart"/>
      <w:r>
        <w:t>obračun</w:t>
      </w:r>
      <w:proofErr w:type="spellEnd"/>
      <w:r>
        <w:t xml:space="preserve"> za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je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rađen</w:t>
      </w:r>
      <w:proofErr w:type="spellEnd"/>
      <w:r>
        <w:t xml:space="preserve"> </w:t>
      </w:r>
      <w:proofErr w:type="spellStart"/>
      <w:r>
        <w:t>obračun</w:t>
      </w:r>
      <w:proofErr w:type="spellEnd"/>
      <w:r>
        <w:t xml:space="preserve"> za </w:t>
      </w:r>
      <w:proofErr w:type="spellStart"/>
      <w:r>
        <w:t>polovicu</w:t>
      </w:r>
      <w:proofErr w:type="spellEnd"/>
      <w:r>
        <w:t xml:space="preserve"> </w:t>
      </w:r>
      <w:proofErr w:type="spellStart"/>
      <w:r>
        <w:t>punog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za </w:t>
      </w:r>
      <w:proofErr w:type="spellStart"/>
      <w:r>
        <w:t>bivšu</w:t>
      </w:r>
      <w:proofErr w:type="spellEnd"/>
      <w:r>
        <w:t xml:space="preserve"> </w:t>
      </w:r>
      <w:proofErr w:type="spellStart"/>
      <w:r>
        <w:t>službenicu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Lumbarda.</w:t>
      </w:r>
    </w:p>
    <w:p w14:paraId="548C98F3" w14:textId="77777777" w:rsidR="00532DA7" w:rsidRDefault="00532DA7"/>
    <w:p w14:paraId="30D497EA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2DA7" w14:paraId="126618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4CC97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99BDE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D536A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5D316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FDB12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4008D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32DA7" w14:paraId="08DB27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B942D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3063E8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Financijski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581F1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06B90B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6.162,49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5A134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4.320,37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6294D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70,1</w:t>
            </w:r>
          </w:p>
        </w:tc>
      </w:tr>
    </w:tbl>
    <w:p w14:paraId="5A88DEA7" w14:textId="77777777" w:rsidR="00532DA7" w:rsidRDefault="00532DA7">
      <w:pPr>
        <w:spacing w:after="0"/>
      </w:pPr>
    </w:p>
    <w:p w14:paraId="4FD2A0BB" w14:textId="77777777" w:rsidR="00532DA7" w:rsidRDefault="00000000">
      <w:proofErr w:type="spellStart"/>
      <w:r>
        <w:t>Smanjeni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29,9 %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za </w:t>
      </w:r>
      <w:proofErr w:type="spellStart"/>
      <w:r>
        <w:t>iznos</w:t>
      </w:r>
      <w:proofErr w:type="spellEnd"/>
      <w:r>
        <w:t xml:space="preserve"> od 1.842,12 EUR, </w:t>
      </w:r>
      <w:proofErr w:type="spellStart"/>
      <w:r>
        <w:t>ali</w:t>
      </w:r>
      <w:proofErr w:type="spellEnd"/>
      <w:r>
        <w:t xml:space="preserve"> u </w:t>
      </w:r>
      <w:proofErr w:type="spellStart"/>
      <w:r>
        <w:t>ukupnim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malen</w:t>
      </w:r>
      <w:proofErr w:type="spellEnd"/>
      <w:r>
        <w:t xml:space="preserve"> </w:t>
      </w:r>
      <w:proofErr w:type="spellStart"/>
      <w:r>
        <w:t>udio</w:t>
      </w:r>
      <w:proofErr w:type="spellEnd"/>
      <w:r>
        <w:t xml:space="preserve">. </w:t>
      </w:r>
      <w:proofErr w:type="spellStart"/>
      <w:r>
        <w:t>Najveći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uplaćenih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uplatitelju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, a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rješenju</w:t>
      </w:r>
      <w:proofErr w:type="spellEnd"/>
      <w:r>
        <w:t xml:space="preserve"> </w:t>
      </w:r>
      <w:proofErr w:type="spellStart"/>
      <w:r>
        <w:t>Porezne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u </w:t>
      </w:r>
      <w:proofErr w:type="spellStart"/>
      <w:r>
        <w:t>najvećoj</w:t>
      </w:r>
      <w:proofErr w:type="spellEnd"/>
      <w:r>
        <w:t xml:space="preserve"> </w:t>
      </w:r>
      <w:proofErr w:type="spellStart"/>
      <w:r>
        <w:t>mjeri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 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proviziju</w:t>
      </w:r>
      <w:proofErr w:type="spellEnd"/>
      <w:r>
        <w:t xml:space="preserve"> </w:t>
      </w:r>
      <w:proofErr w:type="spellStart"/>
      <w:r>
        <w:t>Poreznoj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ubiranja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njenoj</w:t>
      </w:r>
      <w:proofErr w:type="spellEnd"/>
      <w:r>
        <w:t xml:space="preserve">  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čiju</w:t>
      </w:r>
      <w:proofErr w:type="spellEnd"/>
      <w:r>
        <w:t xml:space="preserve"> </w:t>
      </w:r>
      <w:proofErr w:type="spellStart"/>
      <w:r>
        <w:t>naplatu</w:t>
      </w:r>
      <w:proofErr w:type="spellEnd"/>
      <w:r>
        <w:t xml:space="preserve"> Općina Lumbarda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određeni</w:t>
      </w:r>
      <w:proofErr w:type="spellEnd"/>
      <w:r>
        <w:t xml:space="preserve"> </w:t>
      </w:r>
      <w:proofErr w:type="spellStart"/>
      <w:r>
        <w:t>postotak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naplaćenih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. Također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uklučeni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provizija</w:t>
      </w:r>
      <w:proofErr w:type="spellEnd"/>
      <w:r>
        <w:t xml:space="preserve"> za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poslovanje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u </w:t>
      </w:r>
      <w:proofErr w:type="spellStart"/>
      <w:r>
        <w:t>poslovnoj</w:t>
      </w:r>
      <w:proofErr w:type="spellEnd"/>
      <w:r>
        <w:t xml:space="preserve"> </w:t>
      </w:r>
      <w:proofErr w:type="spellStart"/>
      <w:r>
        <w:t>banci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Financijskoj</w:t>
      </w:r>
      <w:proofErr w:type="spellEnd"/>
      <w:r>
        <w:t xml:space="preserve"> </w:t>
      </w:r>
      <w:proofErr w:type="spellStart"/>
      <w:r>
        <w:t>agenciji</w:t>
      </w:r>
      <w:proofErr w:type="spellEnd"/>
      <w:r>
        <w:t>.</w:t>
      </w:r>
    </w:p>
    <w:p w14:paraId="5E6D0DA2" w14:textId="77777777" w:rsidR="00532DA7" w:rsidRDefault="00532DA7"/>
    <w:p w14:paraId="18B0E8AE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2DA7" w14:paraId="495EC0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B131B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8DFFA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56C9C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48100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5BF29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3396D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32DA7" w14:paraId="5CE2EC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D8C4E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CC772F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Subvencije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520AA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C2E464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36.026,33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C08082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51.413,27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ECD34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14:paraId="0894F5B5" w14:textId="77777777" w:rsidR="00532DA7" w:rsidRDefault="00532DA7">
      <w:pPr>
        <w:spacing w:after="0"/>
      </w:pPr>
    </w:p>
    <w:p w14:paraId="55A2C7A4" w14:textId="77777777" w:rsidR="00532DA7" w:rsidRDefault="00000000">
      <w:proofErr w:type="spellStart"/>
      <w:r>
        <w:t>Povećane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42,7% </w:t>
      </w:r>
      <w:proofErr w:type="spellStart"/>
      <w:r>
        <w:t>ili</w:t>
      </w:r>
      <w:proofErr w:type="spellEnd"/>
      <w:r>
        <w:t xml:space="preserve"> za </w:t>
      </w:r>
      <w:proofErr w:type="spellStart"/>
      <w:r>
        <w:t>iznos</w:t>
      </w:r>
      <w:proofErr w:type="spellEnd"/>
      <w:r>
        <w:t xml:space="preserve"> od 15.386,94 EUR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povećanog</w:t>
      </w:r>
      <w:proofErr w:type="spellEnd"/>
      <w:r>
        <w:t xml:space="preserve"> </w:t>
      </w:r>
      <w:proofErr w:type="spellStart"/>
      <w:r>
        <w:t>izdvajanja</w:t>
      </w:r>
      <w:proofErr w:type="spellEnd"/>
      <w:r>
        <w:t xml:space="preserve">  za </w:t>
      </w:r>
      <w:proofErr w:type="spellStart"/>
      <w:r>
        <w:t>vjerski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</w:t>
      </w:r>
      <w:proofErr w:type="spellStart"/>
      <w:r>
        <w:t>Anđeli</w:t>
      </w:r>
      <w:proofErr w:type="spellEnd"/>
      <w:r>
        <w:t xml:space="preserve"> </w:t>
      </w:r>
      <w:proofErr w:type="spellStart"/>
      <w:r>
        <w:t>čuvari</w:t>
      </w:r>
      <w:proofErr w:type="spellEnd"/>
      <w:r>
        <w:t xml:space="preserve"> u </w:t>
      </w:r>
      <w:proofErr w:type="spellStart"/>
      <w:r>
        <w:t>Korčuli</w:t>
      </w:r>
      <w:proofErr w:type="spellEnd"/>
      <w:r>
        <w:t xml:space="preserve">, a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sufinanciranja</w:t>
      </w:r>
      <w:proofErr w:type="spellEnd"/>
      <w:r>
        <w:t xml:space="preserve"> po </w:t>
      </w:r>
      <w:proofErr w:type="spellStart"/>
      <w:r>
        <w:t>djetetu</w:t>
      </w:r>
      <w:proofErr w:type="spellEnd"/>
      <w:r>
        <w:t xml:space="preserve"> za </w:t>
      </w:r>
      <w:proofErr w:type="spellStart"/>
      <w:r>
        <w:t>tekuću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,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odgojiteljicama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>.</w:t>
      </w:r>
    </w:p>
    <w:p w14:paraId="60D1C2D5" w14:textId="77777777" w:rsidR="00532DA7" w:rsidRDefault="00532DA7"/>
    <w:p w14:paraId="6A2C4090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2DA7" w14:paraId="007437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5D6B0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9F9DF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3DB57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2980F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0503D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3175E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32DA7" w14:paraId="6041B5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23F36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BFAAF2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dane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inozemstvo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unutar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0DF153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FA47E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28.425,66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86371C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36.887,08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D15FF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129,8</w:t>
            </w:r>
          </w:p>
        </w:tc>
      </w:tr>
    </w:tbl>
    <w:p w14:paraId="53EEDF3B" w14:textId="77777777" w:rsidR="00532DA7" w:rsidRDefault="00532DA7">
      <w:pPr>
        <w:spacing w:after="0"/>
      </w:pPr>
    </w:p>
    <w:p w14:paraId="0DF6C91B" w14:textId="77777777" w:rsidR="00532DA7" w:rsidRDefault="00000000">
      <w:proofErr w:type="spellStart"/>
      <w:r>
        <w:t>Povećane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29,8% </w:t>
      </w:r>
      <w:proofErr w:type="spellStart"/>
      <w:r>
        <w:t>ili</w:t>
      </w:r>
      <w:proofErr w:type="spellEnd"/>
      <w:r>
        <w:t xml:space="preserve"> za </w:t>
      </w:r>
      <w:proofErr w:type="spellStart"/>
      <w:r>
        <w:t>iznos</w:t>
      </w:r>
      <w:proofErr w:type="spellEnd"/>
      <w:r>
        <w:t xml:space="preserve"> od 8.461,42 EUR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povećanog</w:t>
      </w:r>
      <w:proofErr w:type="spellEnd"/>
      <w:r>
        <w:t xml:space="preserve"> </w:t>
      </w:r>
      <w:proofErr w:type="spellStart"/>
      <w:r>
        <w:t>izdvajanja</w:t>
      </w:r>
      <w:proofErr w:type="spellEnd"/>
      <w:r>
        <w:t xml:space="preserve">  za </w:t>
      </w:r>
      <w:proofErr w:type="spellStart"/>
      <w:r>
        <w:t>područnu</w:t>
      </w:r>
      <w:proofErr w:type="spellEnd"/>
      <w:r>
        <w:t xml:space="preserve"> </w:t>
      </w:r>
      <w:proofErr w:type="spellStart"/>
      <w:r>
        <w:t>jedinicu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Korčula</w:t>
      </w:r>
      <w:proofErr w:type="spellEnd"/>
      <w:r>
        <w:t xml:space="preserve">, a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odgojiteljici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>.</w:t>
      </w:r>
    </w:p>
    <w:p w14:paraId="4F8DCF26" w14:textId="77777777" w:rsidR="00532DA7" w:rsidRDefault="00532DA7"/>
    <w:p w14:paraId="0E50C371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2DA7" w14:paraId="74CFF7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68956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F866E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4E9CC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A2E06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459C4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4C03E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32DA7" w14:paraId="3AC63D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73533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D0CB81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građanima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kućanstvima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osiguranja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BF5DF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B435F6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17.522,99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872949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19.876,20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7A65E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14:paraId="6236853A" w14:textId="77777777" w:rsidR="00532DA7" w:rsidRDefault="00532DA7">
      <w:pPr>
        <w:spacing w:after="0"/>
      </w:pPr>
    </w:p>
    <w:p w14:paraId="60A1F010" w14:textId="77777777" w:rsidR="00532DA7" w:rsidRDefault="00000000">
      <w:proofErr w:type="spellStart"/>
      <w:r>
        <w:t>Povećane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13,4 %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proteklu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izdvajanja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porodiljne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, a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novorođene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14:paraId="3F838887" w14:textId="77777777" w:rsidR="00532DA7" w:rsidRDefault="00532DA7"/>
    <w:p w14:paraId="34198068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2DA7" w14:paraId="6871E9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FD5B2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5E52E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5F58B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9BB8C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CD2D5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12194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32DA7" w14:paraId="078D5A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12F0D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47095F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kazne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šteta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kapitalne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F60E5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13CC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287.207,46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55472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336.753,22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5835C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117,3</w:t>
            </w:r>
          </w:p>
        </w:tc>
      </w:tr>
    </w:tbl>
    <w:p w14:paraId="54D4F67A" w14:textId="77777777" w:rsidR="00532DA7" w:rsidRDefault="00532DA7">
      <w:pPr>
        <w:spacing w:after="0"/>
      </w:pPr>
    </w:p>
    <w:p w14:paraId="09007F57" w14:textId="77777777" w:rsidR="00532DA7" w:rsidRDefault="00000000">
      <w:proofErr w:type="spellStart"/>
      <w:r>
        <w:t>Navedena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za 17,3 % </w:t>
      </w:r>
      <w:proofErr w:type="spellStart"/>
      <w:r>
        <w:t>ili</w:t>
      </w:r>
      <w:proofErr w:type="spellEnd"/>
      <w:r>
        <w:t xml:space="preserve"> za </w:t>
      </w:r>
      <w:proofErr w:type="spellStart"/>
      <w:r>
        <w:t>iznos</w:t>
      </w:r>
      <w:proofErr w:type="spellEnd"/>
      <w:r>
        <w:t xml:space="preserve"> od 49.545,76 </w:t>
      </w:r>
      <w:proofErr w:type="spellStart"/>
      <w:r>
        <w:t>eur.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proteklu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skupina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 za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 u </w:t>
      </w:r>
      <w:proofErr w:type="spellStart"/>
      <w:r>
        <w:t>novcu</w:t>
      </w:r>
      <w:proofErr w:type="spellEnd"/>
      <w:r>
        <w:t xml:space="preserve"> </w:t>
      </w:r>
      <w:proofErr w:type="spellStart"/>
      <w:r>
        <w:t>udrugama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Lumbarda, a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u </w:t>
      </w:r>
      <w:proofErr w:type="spellStart"/>
      <w:r>
        <w:t>tekućoj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. Također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za </w:t>
      </w:r>
      <w:proofErr w:type="spellStart"/>
      <w:r>
        <w:t>kapitalnu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komunalnom</w:t>
      </w:r>
      <w:proofErr w:type="spellEnd"/>
      <w:r>
        <w:t xml:space="preserve"> </w:t>
      </w:r>
      <w:proofErr w:type="spellStart"/>
      <w:r>
        <w:t>poduzeću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, a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sufinanciranja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za </w:t>
      </w:r>
      <w:proofErr w:type="spellStart"/>
      <w:r>
        <w:t>reciklažno</w:t>
      </w:r>
      <w:proofErr w:type="spellEnd"/>
      <w:r>
        <w:t xml:space="preserve"> </w:t>
      </w:r>
      <w:proofErr w:type="spellStart"/>
      <w:r>
        <w:t>dvorište</w:t>
      </w:r>
      <w:proofErr w:type="spellEnd"/>
      <w:r>
        <w:t xml:space="preserve">,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deponija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otpada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reciklažnog</w:t>
      </w:r>
      <w:proofErr w:type="spellEnd"/>
      <w:r>
        <w:t xml:space="preserve"> </w:t>
      </w:r>
      <w:proofErr w:type="spellStart"/>
      <w:r>
        <w:t>dvorišta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kamiona</w:t>
      </w:r>
      <w:proofErr w:type="spellEnd"/>
      <w:r>
        <w:t xml:space="preserve"> za </w:t>
      </w:r>
      <w:proofErr w:type="spellStart"/>
      <w:r>
        <w:t>odvoz</w:t>
      </w:r>
      <w:proofErr w:type="spellEnd"/>
      <w:r>
        <w:t xml:space="preserve"> </w:t>
      </w:r>
      <w:proofErr w:type="spellStart"/>
      <w:r>
        <w:t>smeća</w:t>
      </w:r>
      <w:proofErr w:type="spellEnd"/>
      <w:r>
        <w:t>.</w:t>
      </w:r>
    </w:p>
    <w:p w14:paraId="7321D7FC" w14:textId="77777777" w:rsidR="00532DA7" w:rsidRDefault="00532DA7"/>
    <w:p w14:paraId="7467E544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2DA7" w14:paraId="55163A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35252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9EDED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98AA4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8A4D8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8E88E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E739E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32DA7" w14:paraId="1370FE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60D96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D40E4E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materijalne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prirodnih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bogatstava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7111 do 7113)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5A5DE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92630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10.950,50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AAF8E5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18.461,50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B53F6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168,6</w:t>
            </w:r>
          </w:p>
        </w:tc>
      </w:tr>
    </w:tbl>
    <w:p w14:paraId="70DA9171" w14:textId="77777777" w:rsidR="00532DA7" w:rsidRDefault="00532DA7">
      <w:pPr>
        <w:spacing w:after="0"/>
      </w:pPr>
    </w:p>
    <w:p w14:paraId="0C0A9896" w14:textId="77777777" w:rsidR="00532DA7" w:rsidRDefault="00000000">
      <w:proofErr w:type="spellStart"/>
      <w:r>
        <w:t>Iznose</w:t>
      </w:r>
      <w:proofErr w:type="spellEnd"/>
      <w:r>
        <w:t xml:space="preserve"> 18.461,50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prodaju</w:t>
      </w:r>
      <w:proofErr w:type="spellEnd"/>
      <w:r>
        <w:t xml:space="preserve"> 2 </w:t>
      </w:r>
      <w:proofErr w:type="spellStart"/>
      <w:r>
        <w:t>čestice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, u </w:t>
      </w:r>
      <w:proofErr w:type="spellStart"/>
      <w:r>
        <w:t>naravi</w:t>
      </w:r>
      <w:proofErr w:type="spellEnd"/>
      <w:r>
        <w:t xml:space="preserve"> </w:t>
      </w:r>
      <w:proofErr w:type="spellStart"/>
      <w:r>
        <w:t>okućnice</w:t>
      </w:r>
      <w:proofErr w:type="spellEnd"/>
      <w:r>
        <w:t>.</w:t>
      </w:r>
    </w:p>
    <w:p w14:paraId="0D8C61C6" w14:textId="77777777" w:rsidR="00532DA7" w:rsidRDefault="00532DA7"/>
    <w:p w14:paraId="5D8FB402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2DA7" w14:paraId="1048C0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98AB7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B6E17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B3981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9D8D6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074D1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E3F22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32DA7" w14:paraId="7CA957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10E09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545D69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proizvedene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085CD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69B84D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74.336,83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D04FF7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145.986,00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8A971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196,4</w:t>
            </w:r>
          </w:p>
        </w:tc>
      </w:tr>
    </w:tbl>
    <w:p w14:paraId="079C0D28" w14:textId="77777777" w:rsidR="00532DA7" w:rsidRDefault="00532DA7">
      <w:pPr>
        <w:spacing w:after="0"/>
      </w:pPr>
    </w:p>
    <w:p w14:paraId="08B16B9C" w14:textId="77777777" w:rsidR="00532DA7" w:rsidRDefault="00000000"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96,4% </w:t>
      </w:r>
      <w:proofErr w:type="spellStart"/>
      <w:r>
        <w:t>od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u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za </w:t>
      </w:r>
      <w:proofErr w:type="spellStart"/>
      <w:r>
        <w:t>iznos</w:t>
      </w:r>
      <w:proofErr w:type="spellEnd"/>
      <w:r>
        <w:t xml:space="preserve"> od 71.649,17 EUR. </w:t>
      </w:r>
      <w:proofErr w:type="spellStart"/>
      <w:r>
        <w:t>Navedeno</w:t>
      </w:r>
      <w:proofErr w:type="spellEnd"/>
      <w:r>
        <w:t xml:space="preserve"> je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za </w:t>
      </w:r>
      <w:proofErr w:type="spellStart"/>
      <w:r>
        <w:t>dječje</w:t>
      </w:r>
      <w:proofErr w:type="spellEnd"/>
      <w:r>
        <w:t xml:space="preserve"> </w:t>
      </w:r>
      <w:proofErr w:type="spellStart"/>
      <w:r>
        <w:t>igralište</w:t>
      </w:r>
      <w:proofErr w:type="spellEnd"/>
      <w:r>
        <w:t xml:space="preserve"> u </w:t>
      </w:r>
      <w:proofErr w:type="spellStart"/>
      <w:r>
        <w:t>centru</w:t>
      </w:r>
      <w:proofErr w:type="spellEnd"/>
      <w:r>
        <w:t xml:space="preserve"> </w:t>
      </w:r>
      <w:proofErr w:type="spellStart"/>
      <w:r>
        <w:t>mjesta</w:t>
      </w:r>
      <w:proofErr w:type="spellEnd"/>
      <w:r>
        <w:t>.</w:t>
      </w:r>
    </w:p>
    <w:p w14:paraId="1979FC5E" w14:textId="77777777" w:rsidR="00532DA7" w:rsidRDefault="00532DA7"/>
    <w:p w14:paraId="77D35A91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14:paraId="02466444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2DA7" w14:paraId="79ADE2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13448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F951C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833AE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37240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2EB80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156DB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32DA7" w14:paraId="392DFF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FEB3D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504BC5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Nefinancijska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7786B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536F07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6.684.905,71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D6FDF7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6.635.155,74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9BCD5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99,3</w:t>
            </w:r>
          </w:p>
        </w:tc>
      </w:tr>
    </w:tbl>
    <w:p w14:paraId="34BF60E4" w14:textId="77777777" w:rsidR="00532DA7" w:rsidRDefault="00532DA7">
      <w:pPr>
        <w:spacing w:after="0"/>
      </w:pPr>
    </w:p>
    <w:p w14:paraId="2CF4DD1A" w14:textId="77777777" w:rsidR="00532DA7" w:rsidRDefault="00000000">
      <w:proofErr w:type="spellStart"/>
      <w:r>
        <w:t>Tijekom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najveće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imamo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sportskoj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glazbenoj</w:t>
      </w:r>
      <w:proofErr w:type="spellEnd"/>
      <w:r>
        <w:t xml:space="preserve"> </w:t>
      </w:r>
      <w:proofErr w:type="spellStart"/>
      <w:r>
        <w:t>opremi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za 346,9% </w:t>
      </w:r>
      <w:proofErr w:type="spellStart"/>
      <w:r>
        <w:t>ili</w:t>
      </w:r>
      <w:proofErr w:type="spellEnd"/>
      <w:r>
        <w:t xml:space="preserve"> za </w:t>
      </w:r>
      <w:proofErr w:type="spellStart"/>
      <w:r>
        <w:t>iznos</w:t>
      </w:r>
      <w:proofErr w:type="spellEnd"/>
      <w:r>
        <w:t xml:space="preserve"> od 90.515,00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za </w:t>
      </w:r>
      <w:proofErr w:type="spellStart"/>
      <w:r>
        <w:t>opremanje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igrališta</w:t>
      </w:r>
      <w:proofErr w:type="spellEnd"/>
      <w:r>
        <w:t xml:space="preserve"> u </w:t>
      </w:r>
      <w:proofErr w:type="spellStart"/>
      <w:r>
        <w:t>centru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za </w:t>
      </w:r>
      <w:proofErr w:type="spellStart"/>
      <w:r>
        <w:t>troškove</w:t>
      </w:r>
      <w:proofErr w:type="spellEnd"/>
      <w:r>
        <w:t xml:space="preserve"> za </w:t>
      </w:r>
      <w:proofErr w:type="spellStart"/>
      <w:r>
        <w:t>umjetnička</w:t>
      </w:r>
      <w:proofErr w:type="spellEnd"/>
      <w:r>
        <w:t xml:space="preserve">, </w:t>
      </w:r>
      <w:proofErr w:type="spellStart"/>
      <w:r>
        <w:t>literalna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znanstvena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za 7,7%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za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Lumbarda.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tendenciju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od 10,6 %  </w:t>
      </w:r>
      <w:proofErr w:type="spellStart"/>
      <w:r>
        <w:t>do</w:t>
      </w:r>
      <w:proofErr w:type="spellEnd"/>
      <w:r>
        <w:t xml:space="preserve"> 18,0 %. </w:t>
      </w:r>
    </w:p>
    <w:p w14:paraId="48D2F2DB" w14:textId="77777777" w:rsidR="00532DA7" w:rsidRDefault="00000000">
      <w:proofErr w:type="spellStart"/>
      <w:r>
        <w:t>Sveukupno</w:t>
      </w:r>
      <w:proofErr w:type="spellEnd"/>
      <w:r>
        <w:t xml:space="preserve">, </w:t>
      </w:r>
      <w:proofErr w:type="spellStart"/>
      <w:r>
        <w:t>sadašnja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manja</w:t>
      </w:r>
      <w:proofErr w:type="spellEnd"/>
      <w:r>
        <w:t xml:space="preserve"> je za 0,7 %  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početak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za </w:t>
      </w:r>
      <w:proofErr w:type="spellStart"/>
      <w:r>
        <w:t>iznos</w:t>
      </w:r>
      <w:proofErr w:type="spellEnd"/>
      <w:r>
        <w:t xml:space="preserve"> od 49.749,97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nabavne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za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iznos</w:t>
      </w:r>
      <w:proofErr w:type="spellEnd"/>
      <w:r>
        <w:t>.</w:t>
      </w:r>
    </w:p>
    <w:p w14:paraId="5FBB8F2D" w14:textId="77777777" w:rsidR="00532DA7" w:rsidRDefault="00000000">
      <w:r>
        <w:t xml:space="preserve">Tome je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pridonijelo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šifri</w:t>
      </w:r>
      <w:proofErr w:type="spellEnd"/>
      <w:r>
        <w:t xml:space="preserve"> 021 </w:t>
      </w:r>
      <w:proofErr w:type="spellStart"/>
      <w:r>
        <w:t>i</w:t>
      </w:r>
      <w:proofErr w:type="spellEnd"/>
      <w:r>
        <w:t xml:space="preserve"> 02921 - </w:t>
      </w:r>
      <w:proofErr w:type="spellStart"/>
      <w:r>
        <w:t>Građevinski</w:t>
      </w:r>
      <w:proofErr w:type="spellEnd"/>
      <w:r>
        <w:t xml:space="preserve"> </w:t>
      </w:r>
      <w:proofErr w:type="spellStart"/>
      <w:r>
        <w:t>objekti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odgode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građevinskih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Lumbarda.</w:t>
      </w:r>
    </w:p>
    <w:p w14:paraId="3970A676" w14:textId="77777777" w:rsidR="00532DA7" w:rsidRDefault="00000000">
      <w:proofErr w:type="spellStart"/>
      <w:r>
        <w:lastRenderedPageBreak/>
        <w:t>Jedina</w:t>
      </w:r>
      <w:proofErr w:type="spellEnd"/>
      <w:r>
        <w:t xml:space="preserve"> </w:t>
      </w:r>
      <w:proofErr w:type="spellStart"/>
      <w:r>
        <w:t>kategorija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šifri</w:t>
      </w:r>
      <w:proofErr w:type="spellEnd"/>
      <w:r>
        <w:t xml:space="preserve"> 022 </w:t>
      </w:r>
      <w:proofErr w:type="spellStart"/>
      <w:r>
        <w:t>i</w:t>
      </w:r>
      <w:proofErr w:type="spellEnd"/>
      <w:r>
        <w:t xml:space="preserve"> 02922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za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igrališta</w:t>
      </w:r>
      <w:proofErr w:type="spellEnd"/>
      <w:r>
        <w:t xml:space="preserve"> u </w:t>
      </w:r>
      <w:proofErr w:type="spellStart"/>
      <w:r>
        <w:t>centru</w:t>
      </w:r>
      <w:proofErr w:type="spellEnd"/>
      <w:r>
        <w:t>.</w:t>
      </w:r>
    </w:p>
    <w:p w14:paraId="31AED309" w14:textId="77777777" w:rsidR="00532DA7" w:rsidRDefault="00000000">
      <w:proofErr w:type="spellStart"/>
      <w:r>
        <w:t>Ostale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01.01.2025. </w:t>
      </w:r>
      <w:proofErr w:type="spellStart"/>
      <w:r>
        <w:t>godine</w:t>
      </w:r>
      <w:proofErr w:type="spellEnd"/>
      <w:r>
        <w:t>.           </w:t>
      </w:r>
    </w:p>
    <w:p w14:paraId="1AE2D5C4" w14:textId="77777777" w:rsidR="00532DA7" w:rsidRDefault="00000000">
      <w:r>
        <w:t>            </w:t>
      </w:r>
    </w:p>
    <w:p w14:paraId="0B2F7D59" w14:textId="77777777" w:rsidR="00532DA7" w:rsidRDefault="00000000">
      <w:r>
        <w:t>           </w:t>
      </w:r>
    </w:p>
    <w:p w14:paraId="37E87B33" w14:textId="77777777" w:rsidR="00532DA7" w:rsidRDefault="00532DA7"/>
    <w:p w14:paraId="6CCB3262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2DA7" w14:paraId="241B6C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8D828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9486D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C6BE4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3F20F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9CFF6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BF825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32DA7" w14:paraId="131A0B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F6105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A9E63D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prihode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2A1CD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62831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191.845,93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B096CC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278.454,29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5F664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145,1</w:t>
            </w:r>
          </w:p>
        </w:tc>
      </w:tr>
    </w:tbl>
    <w:p w14:paraId="69374D84" w14:textId="77777777" w:rsidR="00532DA7" w:rsidRDefault="00532DA7">
      <w:pPr>
        <w:spacing w:after="0"/>
      </w:pPr>
    </w:p>
    <w:p w14:paraId="09A5A702" w14:textId="77777777" w:rsidR="00532DA7" w:rsidRDefault="00000000">
      <w:proofErr w:type="spellStart"/>
      <w:r>
        <w:t>Potraživanja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45,1%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početak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uključeni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nekretnine</w:t>
      </w:r>
      <w:proofErr w:type="spellEnd"/>
      <w:r>
        <w:t xml:space="preserve">, </w:t>
      </w:r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potrošnju</w:t>
      </w:r>
      <w:proofErr w:type="spellEnd"/>
      <w:r>
        <w:t xml:space="preserve">, a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uključeno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01.01.2025. </w:t>
      </w:r>
      <w:proofErr w:type="spellStart"/>
      <w:r>
        <w:t>godine</w:t>
      </w:r>
      <w:proofErr w:type="spellEnd"/>
      <w:r>
        <w:t>. </w:t>
      </w:r>
    </w:p>
    <w:p w14:paraId="3304BA57" w14:textId="77777777" w:rsidR="00532DA7" w:rsidRDefault="00532DA7"/>
    <w:p w14:paraId="576D6170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2DA7" w14:paraId="7ECFA3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FEA9E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87C94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FF0B0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16F3F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59F85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5B724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32DA7" w14:paraId="71757E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DE4D6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00EE56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predujmove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depozite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tuđe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4382C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ABF583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64A13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4B08B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486,7</w:t>
            </w:r>
          </w:p>
        </w:tc>
      </w:tr>
    </w:tbl>
    <w:p w14:paraId="4390D13B" w14:textId="77777777" w:rsidR="00532DA7" w:rsidRDefault="00532DA7">
      <w:pPr>
        <w:spacing w:after="0"/>
      </w:pPr>
    </w:p>
    <w:p w14:paraId="25B7A278" w14:textId="77777777" w:rsidR="00532DA7" w:rsidRDefault="00000000">
      <w:proofErr w:type="spellStart"/>
      <w:r>
        <w:t>Obveze</w:t>
      </w:r>
      <w:proofErr w:type="spellEnd"/>
      <w:r>
        <w:t xml:space="preserve"> za </w:t>
      </w:r>
      <w:proofErr w:type="spellStart"/>
      <w:r>
        <w:t>predujmove</w:t>
      </w:r>
      <w:proofErr w:type="spellEnd"/>
      <w:r>
        <w:t xml:space="preserve">, </w:t>
      </w:r>
      <w:proofErr w:type="spellStart"/>
      <w:r>
        <w:t>depozite</w:t>
      </w:r>
      <w:proofErr w:type="spellEnd"/>
      <w:r>
        <w:t xml:space="preserve">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tuđe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386,7%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za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jamčevnih</w:t>
      </w:r>
      <w:proofErr w:type="spellEnd"/>
      <w:r>
        <w:t xml:space="preserve"> </w:t>
      </w:r>
      <w:proofErr w:type="spellStart"/>
      <w:r>
        <w:t>pologa</w:t>
      </w:r>
      <w:proofErr w:type="spellEnd"/>
      <w:r>
        <w:t xml:space="preserve"> </w:t>
      </w:r>
      <w:proofErr w:type="spellStart"/>
      <w:r>
        <w:t>tvrtkama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uplatile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garanciju</w:t>
      </w:r>
      <w:proofErr w:type="spellEnd"/>
      <w:r>
        <w:t xml:space="preserve"> za </w:t>
      </w:r>
      <w:proofErr w:type="spellStart"/>
      <w:r>
        <w:t>ozbiljnost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javljanja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>.</w:t>
      </w:r>
    </w:p>
    <w:p w14:paraId="10E0ADDD" w14:textId="77777777" w:rsidR="00532DA7" w:rsidRDefault="00532DA7"/>
    <w:p w14:paraId="167AA9B7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2DA7" w14:paraId="14FA9E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D8E52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9CC83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786A5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54599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C00BB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4F367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32DA7" w14:paraId="18A241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7CCB0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645F97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Obračunati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4142B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76C089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191.845,94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53EFC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278.454,29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DFCA6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145,1</w:t>
            </w:r>
          </w:p>
        </w:tc>
      </w:tr>
    </w:tbl>
    <w:p w14:paraId="23B79322" w14:textId="77777777" w:rsidR="00532DA7" w:rsidRDefault="00532DA7">
      <w:pPr>
        <w:spacing w:after="0"/>
      </w:pPr>
    </w:p>
    <w:p w14:paraId="54944BB4" w14:textId="77777777" w:rsidR="00532DA7" w:rsidRDefault="00000000">
      <w:proofErr w:type="spellStart"/>
      <w:r>
        <w:lastRenderedPageBreak/>
        <w:t>Obračunati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također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45,1%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početak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obračunate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uključeni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za </w:t>
      </w:r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nekretnine</w:t>
      </w:r>
      <w:proofErr w:type="spellEnd"/>
      <w:r>
        <w:t xml:space="preserve">, </w:t>
      </w:r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potrošnju</w:t>
      </w:r>
      <w:proofErr w:type="spellEnd"/>
      <w:r>
        <w:t xml:space="preserve">, a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uključeno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01.01.2025. </w:t>
      </w:r>
      <w:proofErr w:type="spellStart"/>
      <w:r>
        <w:t>godine</w:t>
      </w:r>
      <w:proofErr w:type="spellEnd"/>
      <w:r>
        <w:t>. </w:t>
      </w:r>
    </w:p>
    <w:p w14:paraId="582915C0" w14:textId="77777777" w:rsidR="00532DA7" w:rsidRDefault="00532DA7"/>
    <w:p w14:paraId="3B344D07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607BDD0F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32DA7" w14:paraId="7BD234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C6849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97835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5723A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C0744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FA0A2" w14:textId="77777777" w:rsidR="00532DA7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32DA7" w14:paraId="05D106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2CDD4" w14:textId="77777777" w:rsidR="00532DA7" w:rsidRDefault="00532D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3F1D66" w14:textId="77777777" w:rsidR="00532DA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7B4A8" w14:textId="77777777" w:rsidR="00532D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BA92BB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17.585,39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BF9F6" w14:textId="77777777" w:rsidR="00532D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EF99FB8" w14:textId="77777777" w:rsidR="00532DA7" w:rsidRDefault="00532DA7">
      <w:pPr>
        <w:spacing w:after="0"/>
      </w:pPr>
    </w:p>
    <w:p w14:paraId="09712845" w14:textId="77777777" w:rsidR="00532DA7" w:rsidRDefault="00000000"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01.01.2025.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iznosilo</w:t>
      </w:r>
      <w:proofErr w:type="spellEnd"/>
      <w:r>
        <w:t xml:space="preserve"> je 5,985,39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31.12.2025.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iznosilo</w:t>
      </w:r>
      <w:proofErr w:type="spellEnd"/>
      <w:r>
        <w:t xml:space="preserve"> je 17.585,39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bile </w:t>
      </w:r>
      <w:proofErr w:type="spellStart"/>
      <w:r>
        <w:t>su</w:t>
      </w:r>
      <w:proofErr w:type="spellEnd"/>
      <w:r>
        <w:t xml:space="preserve"> za 11.600,00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od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  </w:t>
      </w:r>
      <w:proofErr w:type="spellStart"/>
      <w:r>
        <w:t>Obveze</w:t>
      </w:r>
      <w:proofErr w:type="spellEnd"/>
      <w:r>
        <w:t xml:space="preserve"> se u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D232) u </w:t>
      </w:r>
      <w:proofErr w:type="spellStart"/>
      <w:r>
        <w:t>iznosu</w:t>
      </w:r>
      <w:proofErr w:type="spellEnd"/>
      <w:r>
        <w:t xml:space="preserve"> od 2.985,39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predujmove</w:t>
      </w:r>
      <w:proofErr w:type="spellEnd"/>
      <w:r>
        <w:t xml:space="preserve">, </w:t>
      </w:r>
      <w:proofErr w:type="spellStart"/>
      <w:r>
        <w:t>depozite</w:t>
      </w:r>
      <w:proofErr w:type="spellEnd"/>
      <w:r>
        <w:t xml:space="preserve">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tuđe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D27) u </w:t>
      </w:r>
      <w:proofErr w:type="spellStart"/>
      <w:r>
        <w:t>iznosu</w:t>
      </w:r>
      <w:proofErr w:type="spellEnd"/>
      <w:r>
        <w:t xml:space="preserve"> od 14.600,00 </w:t>
      </w:r>
      <w:proofErr w:type="spellStart"/>
      <w:r>
        <w:t>eura</w:t>
      </w:r>
      <w:proofErr w:type="spellEnd"/>
      <w:r>
        <w:t xml:space="preserve">. Dug po </w:t>
      </w:r>
      <w:proofErr w:type="spellStart"/>
      <w:r>
        <w:t>šifri</w:t>
      </w:r>
      <w:proofErr w:type="spellEnd"/>
      <w:r>
        <w:t xml:space="preserve"> D232 je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dugovanja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poduzećima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završila</w:t>
      </w:r>
      <w:proofErr w:type="spellEnd"/>
      <w:r>
        <w:t xml:space="preserve"> u </w:t>
      </w:r>
      <w:proofErr w:type="spellStart"/>
      <w:r>
        <w:t>predstečajnoj</w:t>
      </w:r>
      <w:proofErr w:type="spellEnd"/>
      <w:r>
        <w:t xml:space="preserve"> </w:t>
      </w:r>
      <w:proofErr w:type="spellStart"/>
      <w:r>
        <w:t>nagodbi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nama </w:t>
      </w:r>
      <w:proofErr w:type="spellStart"/>
      <w:r>
        <w:t>dužna</w:t>
      </w:r>
      <w:proofErr w:type="spellEnd"/>
      <w:r>
        <w:t xml:space="preserve"> </w:t>
      </w:r>
      <w:proofErr w:type="spellStart"/>
      <w:r>
        <w:t>višestruko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. Osim </w:t>
      </w:r>
      <w:proofErr w:type="spellStart"/>
      <w:r>
        <w:t>navedenog</w:t>
      </w:r>
      <w:proofErr w:type="spellEnd"/>
      <w:r>
        <w:t xml:space="preserve">,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poduzećima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likvidacije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 </w:t>
      </w:r>
      <w:proofErr w:type="spellStart"/>
      <w:r>
        <w:t>otpisivanje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.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01.01.2025. </w:t>
      </w:r>
      <w:proofErr w:type="spellStart"/>
      <w:r>
        <w:t>godine</w:t>
      </w:r>
      <w:proofErr w:type="spellEnd"/>
      <w:r>
        <w:t xml:space="preserve"> je u </w:t>
      </w:r>
      <w:proofErr w:type="spellStart"/>
      <w:r>
        <w:t>cijelosti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za </w:t>
      </w:r>
      <w:proofErr w:type="spellStart"/>
      <w:r>
        <w:t>uplaćene</w:t>
      </w:r>
      <w:proofErr w:type="spellEnd"/>
      <w:r>
        <w:t xml:space="preserve">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</w:t>
      </w:r>
      <w:proofErr w:type="spellStart"/>
      <w:r>
        <w:t>tvrki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uplatile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garanciju</w:t>
      </w:r>
      <w:proofErr w:type="spellEnd"/>
      <w:r>
        <w:t xml:space="preserve"> za </w:t>
      </w:r>
      <w:proofErr w:type="spellStart"/>
      <w:r>
        <w:t>ozbiljnost</w:t>
      </w:r>
      <w:proofErr w:type="spellEnd"/>
      <w:r>
        <w:t xml:space="preserve"> </w:t>
      </w:r>
      <w:proofErr w:type="spellStart"/>
      <w:r>
        <w:t>ponude</w:t>
      </w:r>
      <w:proofErr w:type="spellEnd"/>
      <w:r>
        <w:t>.</w:t>
      </w:r>
    </w:p>
    <w:p w14:paraId="55228B0C" w14:textId="77777777" w:rsidR="00532DA7" w:rsidRDefault="00532DA7"/>
    <w:p w14:paraId="293D3D1A" w14:textId="77777777" w:rsidR="00532DA7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18.</w:t>
      </w:r>
    </w:p>
    <w:p w14:paraId="2D5DDDF2" w14:textId="77777777" w:rsidR="00532DA7" w:rsidRDefault="00000000">
      <w:pPr>
        <w:spacing w:line="240" w:lineRule="auto"/>
        <w:jc w:val="both"/>
      </w:pPr>
      <w:r>
        <w:rPr>
          <w:b/>
        </w:rPr>
        <w:t xml:space="preserve">EU </w:t>
      </w:r>
      <w:proofErr w:type="spellStart"/>
      <w:r>
        <w:rPr>
          <w:b/>
        </w:rPr>
        <w:t>izvještaj</w:t>
      </w:r>
      <w:proofErr w:type="spellEnd"/>
    </w:p>
    <w:p w14:paraId="05185C0B" w14:textId="77777777" w:rsidR="00532DA7" w:rsidRDefault="00000000">
      <w:r>
        <w:t xml:space="preserve">U </w:t>
      </w:r>
      <w:proofErr w:type="spellStart"/>
      <w:r>
        <w:t>tekućem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60.000,00 EUR,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plaću</w:t>
      </w:r>
      <w:proofErr w:type="spellEnd"/>
      <w:r>
        <w:t xml:space="preserve"> </w:t>
      </w:r>
      <w:proofErr w:type="spellStart"/>
      <w:r>
        <w:t>osobi</w:t>
      </w:r>
      <w:proofErr w:type="spellEnd"/>
      <w:r>
        <w:t xml:space="preserve"> </w:t>
      </w:r>
      <w:proofErr w:type="spellStart"/>
      <w:r>
        <w:t>zaposlenoj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EU </w:t>
      </w:r>
      <w:proofErr w:type="spellStart"/>
      <w:r>
        <w:t>projekta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3.693,06 EUR. </w:t>
      </w:r>
    </w:p>
    <w:p w14:paraId="128FBE48" w14:textId="77777777" w:rsidR="00532DA7" w:rsidRDefault="00532DA7"/>
    <w:sectPr w:rsidR="00532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A7"/>
    <w:rsid w:val="00532DA7"/>
    <w:rsid w:val="00806BF7"/>
    <w:rsid w:val="00F9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720F"/>
  <w15:docId w15:val="{89710393-93E2-4D32-A115-505381FC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2208</Words>
  <Characters>12589</Characters>
  <Application>Microsoft Office Word</Application>
  <DocSecurity>0</DocSecurity>
  <Lines>104</Lines>
  <Paragraphs>29</Paragraphs>
  <ScaleCrop>false</ScaleCrop>
  <Company/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Lumbarda</cp:lastModifiedBy>
  <cp:revision>2</cp:revision>
  <dcterms:created xsi:type="dcterms:W3CDTF">2026-03-02T19:58:00Z</dcterms:created>
  <dcterms:modified xsi:type="dcterms:W3CDTF">2026-03-02T19:58:00Z</dcterms:modified>
</cp:coreProperties>
</file>